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09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095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Starkey Judith</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320"/>
        <w:spacing w:after="0" w:line="365" w:lineRule="auto"/>
        <w:rPr>
          <w:sz w:val="20"/>
          <w:szCs w:val="20"/>
          <w:color w:val="auto"/>
        </w:rPr>
      </w:pPr>
      <w:r>
        <w:rPr>
          <w:rFonts w:ascii="Times New Roman" w:cs="Times New Roman" w:eastAsia="Times New Roman" w:hAnsi="Times New Roman"/>
          <w:sz w:val="17"/>
          <w:szCs w:val="17"/>
          <w:color w:val="0000FF"/>
        </w:rPr>
        <w:t>2400 OLD MILTON PARKWAY BOX 1353</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ALPHARETTA GA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30009</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3"/>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4"/>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STREAMLINE HEALTH SOLUTIONS</w:t>
              </w:r>
            </w:hyperlink>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30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300" w:type="dxa"/>
            <w:vAlign w:val="bottom"/>
            <w:tcBorders>
              <w:bottom w:val="single" w:sz="8" w:color="0000EE"/>
            </w:tcBorders>
          </w:tcPr>
          <w:p>
            <w:pPr>
              <w:spacing w:after="0"/>
              <w:rPr>
                <w:sz w:val="3"/>
                <w:szCs w:val="3"/>
                <w:color w:val="auto"/>
              </w:rPr>
            </w:pPr>
          </w:p>
        </w:tc>
        <w:tc>
          <w:tcPr>
            <w:tcW w:w="3040" w:type="dxa"/>
            <w:vAlign w:val="bottom"/>
            <w:tcBorders>
              <w:bottom w:val="single" w:sz="8" w:color="0000EE"/>
            </w:tcBorders>
          </w:tcPr>
          <w:p>
            <w:pPr>
              <w:spacing w:after="0"/>
              <w:rPr>
                <w:sz w:val="3"/>
                <w:szCs w:val="3"/>
                <w:color w:val="auto"/>
              </w:rPr>
            </w:pPr>
          </w:p>
        </w:tc>
        <w:tc>
          <w:tcPr>
            <w:tcW w:w="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3740" w:type="dxa"/>
            <w:vAlign w:val="bottom"/>
            <w:gridSpan w:val="4"/>
            <w:vMerge w:val="restart"/>
          </w:tcPr>
          <w:p>
            <w:pPr>
              <w:spacing w:after="0" w:line="220"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INC.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STRM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tc>
        <w:tc>
          <w:tcPr>
            <w:tcW w:w="2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5"/>
        </w:trPr>
        <w:tc>
          <w:tcPr>
            <w:tcW w:w="80" w:type="dxa"/>
            <w:vAlign w:val="bottom"/>
          </w:tcPr>
          <w:p>
            <w:pPr>
              <w:spacing w:after="0"/>
              <w:rPr>
                <w:sz w:val="5"/>
                <w:szCs w:val="5"/>
                <w:color w:val="auto"/>
              </w:rPr>
            </w:pPr>
          </w:p>
        </w:tc>
        <w:tc>
          <w:tcPr>
            <w:tcW w:w="3740" w:type="dxa"/>
            <w:vAlign w:val="bottom"/>
            <w:gridSpan w:val="4"/>
            <w:vMerge w:val="continue"/>
          </w:tcPr>
          <w:p>
            <w:pPr>
              <w:spacing w:after="0"/>
              <w:rPr>
                <w:sz w:val="5"/>
                <w:szCs w:val="5"/>
                <w:color w:val="auto"/>
              </w:rPr>
            </w:pPr>
          </w:p>
        </w:tc>
        <w:tc>
          <w:tcPr>
            <w:tcW w:w="200" w:type="dxa"/>
            <w:vAlign w:val="bottom"/>
          </w:tcPr>
          <w:p>
            <w:pPr>
              <w:spacing w:after="0"/>
              <w:rPr>
                <w:sz w:val="5"/>
                <w:szCs w:val="5"/>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0"/>
        </w:trPr>
        <w:tc>
          <w:tcPr>
            <w:tcW w:w="80" w:type="dxa"/>
            <w:vAlign w:val="bottom"/>
            <w:tcBorders>
              <w:bottom w:val="single" w:sz="8" w:color="2C2C2C"/>
            </w:tcBorders>
          </w:tcPr>
          <w:p>
            <w:pPr>
              <w:spacing w:after="0"/>
              <w:rPr>
                <w:sz w:val="6"/>
                <w:szCs w:val="6"/>
                <w:color w:val="auto"/>
              </w:rPr>
            </w:pPr>
          </w:p>
        </w:tc>
        <w:tc>
          <w:tcPr>
            <w:tcW w:w="120" w:type="dxa"/>
            <w:vAlign w:val="bottom"/>
            <w:tcBorders>
              <w:top w:val="single" w:sz="8" w:color="0000EE"/>
              <w:bottom w:val="single" w:sz="8" w:color="2C2C2C"/>
            </w:tcBorders>
          </w:tcPr>
          <w:p>
            <w:pPr>
              <w:spacing w:after="0"/>
              <w:rPr>
                <w:sz w:val="6"/>
                <w:szCs w:val="6"/>
                <w:color w:val="auto"/>
              </w:rPr>
            </w:pPr>
          </w:p>
        </w:tc>
        <w:tc>
          <w:tcPr>
            <w:tcW w:w="300" w:type="dxa"/>
            <w:vAlign w:val="bottom"/>
            <w:tcBorders>
              <w:top w:val="single" w:sz="8" w:color="0000EE"/>
              <w:bottom w:val="single" w:sz="8" w:color="2C2C2C"/>
            </w:tcBorders>
          </w:tcPr>
          <w:p>
            <w:pPr>
              <w:spacing w:after="0"/>
              <w:rPr>
                <w:sz w:val="6"/>
                <w:szCs w:val="6"/>
                <w:color w:val="auto"/>
              </w:rPr>
            </w:pPr>
          </w:p>
        </w:tc>
        <w:tc>
          <w:tcPr>
            <w:tcW w:w="30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16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3"/>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354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07/18/2024</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0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100" w:type="dxa"/>
            <w:vAlign w:val="bottom"/>
            <w:tcBorders>
              <w:bottom w:val="single" w:sz="8" w:color="2C2C2C"/>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3"/>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0"/>
          <w:szCs w:val="20"/>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0"/>
          <w:szCs w:val="20"/>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0"/>
          <w:szCs w:val="20"/>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$0.01 par value</w:t>
            </w: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07/18/2024</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3"/>
              </w:rPr>
              <w:t>250,000</w:t>
            </w:r>
            <w:r>
              <w:rPr>
                <w:rFonts w:ascii="Times New Roman" w:cs="Times New Roman" w:eastAsia="Times New Roman" w:hAnsi="Times New Roman"/>
                <w:sz w:val="22"/>
                <w:szCs w:val="22"/>
                <w:color w:val="008000"/>
                <w:w w:val="93"/>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3"/>
          </w:tcPr>
          <w:p>
            <w:pPr>
              <w:jc w:val="right"/>
              <w:ind w:righ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0.5</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1,137,311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6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 of shares of restricted stock that vest in full on the earlier of (i) July 18, 2025 and (ii) the date of, and immediately prior to, the issuer's 2025 annual meeting of stockholders, subject to the reporting person's continuous service through such vesting date.</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Bryant J Reeves III,</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07/19/2024</w:t>
            </w:r>
          </w:p>
        </w:tc>
        <w:tc>
          <w:tcPr>
            <w:tcW w:w="0" w:type="dxa"/>
            <w:vAlign w:val="bottom"/>
          </w:tcPr>
          <w:p>
            <w:pPr>
              <w:spacing w:after="0"/>
              <w:rPr>
                <w:sz w:val="1"/>
                <w:szCs w:val="1"/>
                <w:color w:val="auto"/>
              </w:rPr>
            </w:pPr>
          </w:p>
        </w:tc>
      </w:tr>
      <w:tr>
        <w:trPr>
          <w:trHeight w:val="87"/>
        </w:trPr>
        <w:tc>
          <w:tcPr>
            <w:tcW w:w="160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48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600" w:type="dxa"/>
            <w:vAlign w:val="bottom"/>
            <w:tcBorders>
              <w:top w:val="single" w:sz="8" w:color="auto"/>
            </w:tcBorders>
            <w:gridSpan w:val="2"/>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400173" TargetMode="External"/><Relationship Id="rId13" Type="http://schemas.openxmlformats.org/officeDocument/2006/relationships/hyperlink" Target="http://www.sec.gov/cgi-bin/browse-edgar?action=getcompany&amp;CIK=00010085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2024-07-19T15:40:17Z</dcterms:created>
  <dcterms:modified xsi:type="dcterms:W3CDTF">2024-07-19T15:40:17Z</dcterms:modified>
</cp:coreProperties>
</file>