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STREAMLINE HEALTH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86323X205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86323X205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Beryl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374,030.00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374,030.00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374,030.00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9860"/>
          </w:cols>
          <w:pgMar w:left="320" w:top="111" w:right="55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4,331,315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April 28, 2025, as disclosed in the Form 10-K/A filed by the Issuer for the fiscal year ended January 31,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86323X205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Beryl Capital Management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020"/>
          </w:cols>
          <w:pgMar w:left="320" w:top="111" w:right="559" w:bottom="0" w:gutter="0" w:footer="0" w:header="0"/>
          <w:type w:val="continuous"/>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374,030.00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374,030.00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374,030.00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38" w:orient="portrait"/>
          <w:cols w:equalWidth="0" w:num="2">
            <w:col w:w="1100" w:space="60"/>
            <w:col w:w="9860"/>
          </w:cols>
          <w:pgMar w:left="320" w:top="111" w:right="55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PN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4,331,315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April 28, 2025, as disclosed in the Form 10-K/A filed by the Issuer for the fiscal year ended January 31,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86323X205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Beryl Capital Partners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20"/>
          </w:cols>
          <w:pgMar w:left="320" w:top="369" w:right="5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301,389.00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301,389.00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301,389.00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860"/>
          </w:cols>
          <w:pgMar w:left="320" w:top="369" w:right="55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4,331,315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April 28, 2025, as disclosed in the Form 10-K/A filed by the Issuer for the fiscal year ended January 31,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20"/>
          </w:cols>
          <w:pgMar w:left="320" w:top="369" w:right="559"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86323X205</w:t>
      </w:r>
    </w:p>
    <w:p>
      <w:pPr>
        <w:sectPr>
          <w:pgSz w:w="11900" w:h="16838" w:orient="portrait"/>
          <w:cols w:equalWidth="0" w:num="1">
            <w:col w:w="11020"/>
          </w:cols>
          <w:pgMar w:left="320" w:top="369" w:right="55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David A. Witkin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639"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374,030.00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374,030.00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374,030.00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9980"/>
          </w:cols>
          <w:pgMar w:left="320" w:top="639" w:right="439" w:bottom="0" w:gutter="0" w:footer="0" w:header="0"/>
          <w:type w:val="continuous"/>
        </w:sectPr>
      </w:pPr>
    </w:p>
    <w:p>
      <w:pPr>
        <w:spacing w:after="0" w:line="7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4,331,315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April 28, 2025, as disclosed in the Form 10-K/A filed by the Issuer for the fiscal year ended January 31,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STREAMLINE HEALTH SOLUTIONS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2400 Old Milton Pkwy., Box 1353, Alpharetta, GA 30009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6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Beryl Capital Management LLC, a Delaware limited liability company ("Beryl") Beryl Capital Management LP, a Delaware limited partnership ("Beryl GP") Beryl Capital Partners II LP, a Delaware limited partnership (the "Partnership") David A. Witkin Beryl is the investment adviser to the Partnership and other accounts. Beryl is the general partner of Beryl GP, which is the general partner of the Partnership and other private investment funds. Mr. Witkin is the control person of Beryl. Each reporting person disclaims beneficial ownership of Common Stock except to the extent of that person's pecuniary interest therein. In addition, the filing of this Schedule 13G on behalf of the</w:t>
      </w:r>
    </w:p>
    <w:p>
      <w:pPr>
        <w:sectPr>
          <w:pgSz w:w="11900" w:h="16838" w:orient="portrait"/>
          <w:cols w:equalWidth="0" w:num="1">
            <w:col w:w="11140"/>
          </w:cols>
          <w:pgMar w:left="320" w:top="639" w:right="439" w:bottom="0" w:gutter="0" w:footer="0" w:header="0"/>
          <w:type w:val="continuous"/>
        </w:sectPr>
      </w:pPr>
    </w:p>
    <w:bookmarkStart w:id="4" w:name="page5"/>
    <w:bookmarkEnd w:id="4"/>
    <w:p>
      <w:pPr>
        <w:ind w:left="920"/>
        <w:spacing w:after="0" w:line="256" w:lineRule="auto"/>
        <w:rPr>
          <w:sz w:val="20"/>
          <w:szCs w:val="20"/>
          <w:color w:val="auto"/>
        </w:rPr>
      </w:pPr>
      <w:r>
        <w:rPr>
          <w:rFonts w:ascii="Times New Roman" w:cs="Times New Roman" w:eastAsia="Times New Roman" w:hAnsi="Times New Roman"/>
          <w:sz w:val="22"/>
          <w:szCs w:val="22"/>
          <w:color w:val="auto"/>
        </w:rPr>
        <w:t>Partnership should not be construed as an admission that it is, and it disclaims that it is, a beneficial owner, as defined in Rule 13d-3 under the Act, of any Common Stock covered by this Schedule 13G.</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225 Avenue I, Suite 205 Redondo Beach, CA 90277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the cover sheet for each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86323X205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Beryl: 374,030 Beryl GP: 374,030 Partnership: 301,389 David A Witkin: 374,030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Beryl: 8.6% Beryl GP: 8.6% Partnership: 7.0% David A. Witkin: 8.6%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00"/>
          </w:cols>
          <w:pgMar w:left="360" w:top="112"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Beryl: 0 Beryl GP: 0 Partnership: 0 David A. Witkin: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Beryl: 374,030 Beryl GP: 374,030 Partnership: 301,389 David A Witkin: 374,030</w:t>
      </w:r>
    </w:p>
    <w:p>
      <w:pPr>
        <w:spacing w:after="0" w:line="287" w:lineRule="exact"/>
        <w:rPr>
          <w:sz w:val="20"/>
          <w:szCs w:val="20"/>
          <w:color w:val="auto"/>
        </w:rPr>
      </w:pPr>
    </w:p>
    <w:p>
      <w:pPr>
        <w:ind w:right="528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Beryl: 0 Beryl GP: 0 Partnership: 0 David A. Witkin: 0</w:t>
      </w:r>
    </w:p>
    <w:p>
      <w:pPr>
        <w:spacing w:after="0" w:line="1"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Beryl: 374,030 Beryl GP: 374,030 Partnership: 301,389 David A Witkin: 374,030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ectPr>
          <w:pgSz w:w="11900" w:h="16838" w:orient="portrait"/>
          <w:cols w:equalWidth="0" w:num="2">
            <w:col w:w="620" w:space="300"/>
            <w:col w:w="10180"/>
          </w:cols>
          <w:pgMar w:left="360" w:top="112" w:right="439"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Beryl Capital Management LLC</w:t>
      </w:r>
    </w:p>
    <w:p>
      <w:pPr>
        <w:spacing w:after="0" w:line="152"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Nelson</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Name/Title: Chief Operating Officer</w:t>
      </w:r>
    </w:p>
    <w:p>
      <w:pPr>
        <w:spacing w:after="0" w:line="44"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06/05/2025</w:t>
      </w:r>
    </w:p>
    <w:p>
      <w:pPr>
        <w:spacing w:after="0" w:line="1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Beryl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Nelson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Chief Operating Officer of Beryl Capital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Management LLC, General Partner of Beryl</w:t>
      </w:r>
    </w:p>
    <w:p>
      <w:pPr>
        <w:ind w:left="6740"/>
        <w:spacing w:after="0"/>
        <w:rPr>
          <w:sz w:val="20"/>
          <w:szCs w:val="20"/>
          <w:color w:val="auto"/>
        </w:rPr>
      </w:pPr>
      <w:r>
        <w:rPr>
          <w:rFonts w:ascii="Times New Roman" w:cs="Times New Roman" w:eastAsia="Times New Roman" w:hAnsi="Times New Roman"/>
          <w:sz w:val="22"/>
          <w:szCs w:val="22"/>
          <w:color w:val="auto"/>
        </w:rPr>
        <w:t>Capital Management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06/05/2025</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Beryl Capital Partners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Nelson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COO of Beryl Capital Management LLC, General</w:t>
      </w:r>
    </w:p>
    <w:p>
      <w:pPr>
        <w:spacing w:after="0" w:line="16"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22"/>
          <w:szCs w:val="22"/>
          <w:color w:val="auto"/>
        </w:rPr>
        <w:t>Name/Title: Partner of Beryl Capital Management LP, General</w:t>
      </w:r>
    </w:p>
    <w:p>
      <w:pPr>
        <w:jc w:val="center"/>
        <w:ind w:left="5640"/>
        <w:spacing w:after="0"/>
        <w:rPr>
          <w:sz w:val="20"/>
          <w:szCs w:val="20"/>
          <w:color w:val="auto"/>
        </w:rPr>
      </w:pPr>
      <w:r>
        <w:rPr>
          <w:rFonts w:ascii="Times New Roman" w:cs="Times New Roman" w:eastAsia="Times New Roman" w:hAnsi="Times New Roman"/>
          <w:sz w:val="22"/>
          <w:szCs w:val="22"/>
          <w:color w:val="auto"/>
        </w:rPr>
        <w:t>Partner of Beryl Capital Partners II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David A. Witkin</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A. Witkin</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Reporting person</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06/05/2025</w:t>
      </w:r>
    </w:p>
    <w:p>
      <w:pPr>
        <w:spacing w:after="0" w:line="108" w:lineRule="exact"/>
        <w:rPr>
          <w:sz w:val="20"/>
          <w:szCs w:val="20"/>
          <w:color w:val="auto"/>
        </w:rPr>
      </w:pPr>
    </w:p>
    <w:p>
      <w:pPr>
        <w:jc w:val="center"/>
        <w:ind w:right="36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 Agreement Regarding Joint Filing of Statement on Schedule 13D or 13G</w:t>
      </w:r>
    </w:p>
    <w:p>
      <w:pPr>
        <w:sectPr>
          <w:pgSz w:w="11900" w:h="16838" w:orient="portrait"/>
          <w:cols w:equalWidth="0" w:num="1">
            <w:col w:w="11140"/>
          </w:cols>
          <w:pgMar w:left="360" w:top="111"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color w:val="auto"/>
        </w:rPr>
        <w:t>EXHIBIT 99.1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Beryl Capital Management,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7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Dated: June 5, 2025</w:t>
            </w:r>
          </w:p>
        </w:tc>
        <w:tc>
          <w:tcPr>
            <w:tcW w:w="12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5760" w:type="dxa"/>
            <w:vAlign w:val="bottom"/>
            <w:gridSpan w:val="5"/>
          </w:tcPr>
          <w:p>
            <w:pPr>
              <w:ind w:left="100"/>
              <w:spacing w:after="0"/>
              <w:rPr>
                <w:sz w:val="20"/>
                <w:szCs w:val="20"/>
                <w:color w:val="auto"/>
              </w:rPr>
            </w:pPr>
            <w:r>
              <w:rPr>
                <w:rFonts w:ascii="Times New Roman" w:cs="Times New Roman" w:eastAsia="Times New Roman" w:hAnsi="Times New Roman"/>
                <w:sz w:val="20"/>
                <w:szCs w:val="20"/>
                <w:b w:val="1"/>
                <w:bCs w:val="1"/>
                <w:color w:val="auto"/>
              </w:rPr>
              <w:t>BERYL CAPITAL MANAGEMENT LLC</w:t>
            </w: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BERYL CAPITAL MANAGEMENT LP</w:t>
            </w:r>
          </w:p>
        </w:tc>
        <w:tc>
          <w:tcPr>
            <w:tcW w:w="0" w:type="dxa"/>
            <w:vAlign w:val="bottom"/>
          </w:tcPr>
          <w:p>
            <w:pPr>
              <w:spacing w:after="0"/>
              <w:rPr>
                <w:sz w:val="1"/>
                <w:szCs w:val="1"/>
                <w:color w:val="auto"/>
              </w:rPr>
            </w:pPr>
          </w:p>
        </w:tc>
      </w:tr>
      <w:tr>
        <w:trPr>
          <w:trHeight w:val="444"/>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By:   Beryl Capital Management LLC</w:t>
            </w:r>
          </w:p>
        </w:tc>
        <w:tc>
          <w:tcPr>
            <w:tcW w:w="0" w:type="dxa"/>
            <w:vAlign w:val="bottom"/>
          </w:tcPr>
          <w:p>
            <w:pPr>
              <w:spacing w:after="0"/>
              <w:rPr>
                <w:sz w:val="1"/>
                <w:szCs w:val="1"/>
                <w:color w:val="auto"/>
              </w:rPr>
            </w:pPr>
          </w:p>
        </w:tc>
      </w:tr>
      <w:tr>
        <w:trPr>
          <w:trHeight w:val="258"/>
        </w:trPr>
        <w:tc>
          <w:tcPr>
            <w:tcW w:w="5760" w:type="dxa"/>
            <w:vAlign w:val="bottom"/>
            <w:gridSpan w:val="5"/>
            <w:vMerge w:val="restart"/>
          </w:tcPr>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Andrew Nelson</w:t>
            </w:r>
          </w:p>
        </w:tc>
        <w:tc>
          <w:tcPr>
            <w:tcW w:w="548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General Partner</w:t>
            </w:r>
          </w:p>
        </w:tc>
        <w:tc>
          <w:tcPr>
            <w:tcW w:w="0" w:type="dxa"/>
            <w:vAlign w:val="bottom"/>
          </w:tcPr>
          <w:p>
            <w:pPr>
              <w:spacing w:after="0"/>
              <w:rPr>
                <w:sz w:val="1"/>
                <w:szCs w:val="1"/>
                <w:color w:val="auto"/>
              </w:rPr>
            </w:pPr>
          </w:p>
        </w:tc>
      </w:tr>
      <w:tr>
        <w:trPr>
          <w:trHeight w:val="244"/>
        </w:trPr>
        <w:tc>
          <w:tcPr>
            <w:tcW w:w="5760" w:type="dxa"/>
            <w:vAlign w:val="bottom"/>
            <w:gridSpan w:val="5"/>
            <w:vMerge w:val="continue"/>
          </w:tcPr>
          <w:p>
            <w:pPr>
              <w:spacing w:after="0"/>
              <w:rPr>
                <w:sz w:val="21"/>
                <w:szCs w:val="21"/>
                <w:color w:val="auto"/>
              </w:rPr>
            </w:pPr>
          </w:p>
        </w:tc>
        <w:tc>
          <w:tcPr>
            <w:tcW w:w="5480" w:type="dxa"/>
            <w:vAlign w:val="bottom"/>
            <w:gridSpan w:val="2"/>
            <w:vMerge w:val="restart"/>
          </w:tcPr>
          <w:p>
            <w:pPr>
              <w:ind w:left="640"/>
              <w:spacing w:after="0"/>
              <w:rPr>
                <w:sz w:val="20"/>
                <w:szCs w:val="20"/>
                <w:color w:val="auto"/>
              </w:rPr>
            </w:pPr>
            <w:r>
              <w:rPr>
                <w:rFonts w:ascii="Times New Roman" w:cs="Times New Roman" w:eastAsia="Times New Roman" w:hAnsi="Times New Roman"/>
                <w:sz w:val="20"/>
                <w:szCs w:val="20"/>
                <w:color w:val="auto"/>
                <w:w w:val="98"/>
              </w:rPr>
              <w:t>By:</w:t>
            </w:r>
            <w:r>
              <w:rPr>
                <w:rFonts w:ascii="Times New Roman" w:cs="Times New Roman" w:eastAsia="Times New Roman" w:hAnsi="Times New Roman"/>
                <w:sz w:val="20"/>
                <w:szCs w:val="20"/>
                <w:i w:val="1"/>
                <w:iCs w:val="1"/>
                <w:color w:val="auto"/>
                <w:w w:val="98"/>
              </w:rPr>
              <w:t>/s/ Andrew Nelson</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4940" w:type="dxa"/>
            <w:vAlign w:val="bottom"/>
            <w:tcBorders>
              <w:top w:val="single" w:sz="8" w:color="auto"/>
            </w:tcBorders>
            <w:gridSpan w:val="3"/>
          </w:tcPr>
          <w:p>
            <w:pPr>
              <w:ind w:left="100"/>
              <w:spacing w:after="0" w:line="207" w:lineRule="exact"/>
              <w:rPr>
                <w:sz w:val="20"/>
                <w:szCs w:val="20"/>
                <w:color w:val="auto"/>
              </w:rPr>
            </w:pPr>
            <w:r>
              <w:rPr>
                <w:rFonts w:ascii="Times New Roman" w:cs="Times New Roman" w:eastAsia="Times New Roman" w:hAnsi="Times New Roman"/>
                <w:sz w:val="20"/>
                <w:szCs w:val="20"/>
                <w:color w:val="auto"/>
              </w:rPr>
              <w:t>Andrew Nelson</w:t>
            </w:r>
          </w:p>
        </w:tc>
        <w:tc>
          <w:tcPr>
            <w:tcW w:w="260" w:type="dxa"/>
            <w:vAlign w:val="bottom"/>
          </w:tcPr>
          <w:p>
            <w:pPr>
              <w:spacing w:after="0"/>
              <w:rPr>
                <w:sz w:val="17"/>
                <w:szCs w:val="17"/>
                <w:color w:val="auto"/>
              </w:rPr>
            </w:pPr>
          </w:p>
        </w:tc>
        <w:tc>
          <w:tcPr>
            <w:tcW w:w="5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0" w:type="dxa"/>
            <w:vAlign w:val="bottom"/>
            <w:vMerge w:val="restart"/>
          </w:tcPr>
          <w:p>
            <w:pPr>
              <w:spacing w:after="0" w:line="20" w:lineRule="exact"/>
              <w:rPr>
                <w:sz w:val="1"/>
                <w:szCs w:val="1"/>
                <w:color w:val="auto"/>
              </w:rPr>
            </w:pPr>
          </w:p>
        </w:tc>
        <w:tc>
          <w:tcPr>
            <w:tcW w:w="52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0"/>
                <w:szCs w:val="20"/>
                <w:color w:val="auto"/>
              </w:rPr>
              <w:t>Chief Operating Officer</w:t>
            </w:r>
          </w:p>
        </w:tc>
        <w:tc>
          <w:tcPr>
            <w:tcW w:w="12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60" w:type="dxa"/>
            <w:vAlign w:val="bottom"/>
            <w:vMerge w:val="continue"/>
          </w:tcPr>
          <w:p>
            <w:pPr>
              <w:spacing w:after="0"/>
              <w:rPr>
                <w:sz w:val="17"/>
                <w:szCs w:val="17"/>
                <w:color w:val="auto"/>
              </w:rPr>
            </w:pPr>
          </w:p>
        </w:tc>
        <w:tc>
          <w:tcPr>
            <w:tcW w:w="5200" w:type="dxa"/>
            <w:vAlign w:val="bottom"/>
            <w:gridSpan w:val="4"/>
            <w:vMerge w:val="continue"/>
          </w:tcPr>
          <w:p>
            <w:pPr>
              <w:spacing w:after="0"/>
              <w:rPr>
                <w:sz w:val="17"/>
                <w:szCs w:val="17"/>
                <w:color w:val="auto"/>
              </w:rPr>
            </w:pPr>
          </w:p>
        </w:tc>
        <w:tc>
          <w:tcPr>
            <w:tcW w:w="1220" w:type="dxa"/>
            <w:vAlign w:val="bottom"/>
          </w:tcPr>
          <w:p>
            <w:pPr>
              <w:spacing w:after="0"/>
              <w:rPr>
                <w:sz w:val="17"/>
                <w:szCs w:val="17"/>
                <w:color w:val="auto"/>
              </w:rPr>
            </w:pPr>
          </w:p>
        </w:tc>
        <w:tc>
          <w:tcPr>
            <w:tcW w:w="42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Andrew Nelson</w:t>
            </w:r>
          </w:p>
        </w:tc>
        <w:tc>
          <w:tcPr>
            <w:tcW w:w="0" w:type="dxa"/>
            <w:vAlign w:val="bottom"/>
          </w:tcPr>
          <w:p>
            <w:pPr>
              <w:spacing w:after="0"/>
              <w:rPr>
                <w:sz w:val="1"/>
                <w:szCs w:val="1"/>
                <w:color w:val="auto"/>
              </w:rPr>
            </w:pPr>
          </w:p>
        </w:tc>
      </w:tr>
      <w:tr>
        <w:trPr>
          <w:trHeight w:val="258"/>
        </w:trPr>
        <w:tc>
          <w:tcPr>
            <w:tcW w:w="5760" w:type="dxa"/>
            <w:vAlign w:val="bottom"/>
            <w:gridSpan w:val="5"/>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BERYL CAPITAL PARTNERS II LP</w:t>
            </w:r>
          </w:p>
        </w:tc>
        <w:tc>
          <w:tcPr>
            <w:tcW w:w="1220" w:type="dxa"/>
            <w:vAlign w:val="bottom"/>
          </w:tcPr>
          <w:p>
            <w:pPr>
              <w:spacing w:after="0"/>
              <w:rPr>
                <w:sz w:val="22"/>
                <w:szCs w:val="22"/>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Operating Officer</w:t>
            </w:r>
          </w:p>
        </w:tc>
        <w:tc>
          <w:tcPr>
            <w:tcW w:w="0" w:type="dxa"/>
            <w:vAlign w:val="bottom"/>
          </w:tcPr>
          <w:p>
            <w:pPr>
              <w:spacing w:after="0"/>
              <w:rPr>
                <w:sz w:val="1"/>
                <w:szCs w:val="1"/>
                <w:color w:val="auto"/>
              </w:rPr>
            </w:pPr>
          </w:p>
        </w:tc>
      </w:tr>
      <w:tr>
        <w:trPr>
          <w:trHeight w:val="243"/>
        </w:trPr>
        <w:tc>
          <w:tcPr>
            <w:tcW w:w="5760" w:type="dxa"/>
            <w:vAlign w:val="bottom"/>
            <w:gridSpan w:val="5"/>
            <w:vMerge w:val="continue"/>
          </w:tcPr>
          <w:p>
            <w:pPr>
              <w:spacing w:after="0"/>
              <w:rPr>
                <w:sz w:val="21"/>
                <w:szCs w:val="21"/>
                <w:color w:val="auto"/>
              </w:rPr>
            </w:pPr>
          </w:p>
        </w:tc>
        <w:tc>
          <w:tcPr>
            <w:tcW w:w="12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1"/>
        </w:trPr>
        <w:tc>
          <w:tcPr>
            <w:tcW w:w="57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By: Beryl Capital Management LP</w:t>
            </w:r>
          </w:p>
        </w:tc>
        <w:tc>
          <w:tcPr>
            <w:tcW w:w="1220" w:type="dxa"/>
            <w:vAlign w:val="bottom"/>
          </w:tcPr>
          <w:p>
            <w:pPr>
              <w:spacing w:after="0"/>
              <w:rPr>
                <w:sz w:val="24"/>
                <w:szCs w:val="24"/>
                <w:color w:val="auto"/>
              </w:rPr>
            </w:pPr>
          </w:p>
        </w:tc>
        <w:tc>
          <w:tcPr>
            <w:tcW w:w="4260" w:type="dxa"/>
            <w:vAlign w:val="bottom"/>
          </w:tcPr>
          <w:p>
            <w:pPr>
              <w:jc w:val="center"/>
              <w:ind w:right="1121"/>
              <w:spacing w:after="0"/>
              <w:rPr>
                <w:sz w:val="20"/>
                <w:szCs w:val="20"/>
                <w:color w:val="auto"/>
              </w:rPr>
            </w:pPr>
            <w:r>
              <w:rPr>
                <w:rFonts w:ascii="Times New Roman" w:cs="Times New Roman" w:eastAsia="Times New Roman" w:hAnsi="Times New Roman"/>
                <w:sz w:val="20"/>
                <w:szCs w:val="20"/>
                <w:i w:val="1"/>
                <w:iCs w:val="1"/>
                <w:color w:val="auto"/>
                <w:w w:val="97"/>
              </w:rPr>
              <w:t>/s/ David A. Witkin</w:t>
            </w:r>
          </w:p>
        </w:tc>
        <w:tc>
          <w:tcPr>
            <w:tcW w:w="0" w:type="dxa"/>
            <w:vAlign w:val="bottom"/>
          </w:tcPr>
          <w:p>
            <w:pPr>
              <w:spacing w:after="0"/>
              <w:rPr>
                <w:sz w:val="1"/>
                <w:szCs w:val="1"/>
                <w:color w:val="auto"/>
              </w:rPr>
            </w:pPr>
          </w:p>
        </w:tc>
      </w:tr>
      <w:tr>
        <w:trPr>
          <w:trHeight w:val="23"/>
        </w:trPr>
        <w:tc>
          <w:tcPr>
            <w:tcW w:w="576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auto"/>
              </w:rPr>
              <w:t>General Partner</w:t>
            </w:r>
          </w:p>
        </w:tc>
        <w:tc>
          <w:tcPr>
            <w:tcW w:w="12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5760" w:type="dxa"/>
            <w:vAlign w:val="bottom"/>
            <w:gridSpan w:val="5"/>
            <w:vMerge w:val="continue"/>
          </w:tcPr>
          <w:p>
            <w:pPr>
              <w:spacing w:after="0"/>
              <w:rPr>
                <w:sz w:val="22"/>
                <w:szCs w:val="22"/>
                <w:color w:val="auto"/>
              </w:rPr>
            </w:pPr>
          </w:p>
        </w:tc>
        <w:tc>
          <w:tcPr>
            <w:tcW w:w="1220" w:type="dxa"/>
            <w:vAlign w:val="bottom"/>
          </w:tcPr>
          <w:p>
            <w:pPr>
              <w:spacing w:after="0"/>
              <w:rPr>
                <w:sz w:val="22"/>
                <w:szCs w:val="22"/>
                <w:color w:val="auto"/>
              </w:rPr>
            </w:pPr>
          </w:p>
        </w:tc>
        <w:tc>
          <w:tcPr>
            <w:tcW w:w="4260" w:type="dxa"/>
            <w:vAlign w:val="bottom"/>
          </w:tcPr>
          <w:p>
            <w:pPr>
              <w:jc w:val="center"/>
              <w:ind w:right="1121"/>
              <w:spacing w:after="0"/>
              <w:rPr>
                <w:sz w:val="20"/>
                <w:szCs w:val="20"/>
                <w:color w:val="auto"/>
              </w:rPr>
            </w:pPr>
            <w:r>
              <w:rPr>
                <w:rFonts w:ascii="Times New Roman" w:cs="Times New Roman" w:eastAsia="Times New Roman" w:hAnsi="Times New Roman"/>
                <w:sz w:val="20"/>
                <w:szCs w:val="20"/>
                <w:b w:val="1"/>
                <w:bCs w:val="1"/>
                <w:color w:val="auto"/>
                <w:w w:val="99"/>
              </w:rPr>
              <w:t>David A. Witkin</w:t>
            </w:r>
          </w:p>
        </w:tc>
        <w:tc>
          <w:tcPr>
            <w:tcW w:w="0" w:type="dxa"/>
            <w:vAlign w:val="bottom"/>
          </w:tcPr>
          <w:p>
            <w:pPr>
              <w:spacing w:after="0"/>
              <w:rPr>
                <w:sz w:val="1"/>
                <w:szCs w:val="1"/>
                <w:color w:val="auto"/>
              </w:rPr>
            </w:pPr>
          </w:p>
        </w:tc>
      </w:tr>
      <w:tr>
        <w:trPr>
          <w:trHeight w:val="430"/>
        </w:trPr>
        <w:tc>
          <w:tcPr>
            <w:tcW w:w="57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By: Beryl Capital Management LLC</w:t>
            </w:r>
          </w:p>
        </w:tc>
        <w:tc>
          <w:tcPr>
            <w:tcW w:w="1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General Partner</w:t>
            </w:r>
          </w:p>
        </w:tc>
        <w:tc>
          <w:tcPr>
            <w:tcW w:w="12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560" w:type="dxa"/>
            <w:vAlign w:val="bottom"/>
          </w:tcPr>
          <w:p>
            <w:pPr>
              <w:spacing w:after="0"/>
              <w:rPr>
                <w:sz w:val="24"/>
                <w:szCs w:val="24"/>
                <w:color w:val="auto"/>
              </w:rPr>
            </w:pPr>
          </w:p>
        </w:tc>
        <w:tc>
          <w:tcPr>
            <w:tcW w:w="52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i w:val="1"/>
                <w:iCs w:val="1"/>
                <w:color w:val="auto"/>
              </w:rPr>
              <w:t>/s/ Andrew Nelson</w:t>
            </w:r>
          </w:p>
        </w:tc>
        <w:tc>
          <w:tcPr>
            <w:tcW w:w="1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60" w:type="dxa"/>
            <w:vAlign w:val="bottom"/>
          </w:tcPr>
          <w:p>
            <w:pPr>
              <w:spacing w:after="0"/>
              <w:rPr>
                <w:sz w:val="22"/>
                <w:szCs w:val="22"/>
                <w:color w:val="auto"/>
              </w:rPr>
            </w:pPr>
          </w:p>
        </w:tc>
        <w:tc>
          <w:tcPr>
            <w:tcW w:w="52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Andrew Nelson</w:t>
            </w:r>
          </w:p>
        </w:tc>
        <w:tc>
          <w:tcPr>
            <w:tcW w:w="12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60" w:type="dxa"/>
            <w:vAlign w:val="bottom"/>
          </w:tcPr>
          <w:p>
            <w:pPr>
              <w:spacing w:after="0"/>
              <w:rPr>
                <w:sz w:val="22"/>
                <w:szCs w:val="22"/>
                <w:color w:val="auto"/>
              </w:rPr>
            </w:pPr>
          </w:p>
        </w:tc>
        <w:tc>
          <w:tcPr>
            <w:tcW w:w="52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Chief Operating Officer</w:t>
            </w:r>
          </w:p>
        </w:tc>
        <w:tc>
          <w:tcPr>
            <w:tcW w:w="12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2025-06-05T19:36:42Z</dcterms:created>
  <dcterms:modified xsi:type="dcterms:W3CDTF">2025-06-05T19:36:42Z</dcterms:modified>
</cp:coreProperties>
</file>